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Crypto News February 14, 2025</w:t>
      </w:r>
    </w:p>
    <w:p w:rsidR="00000000" w:rsidDel="00000000" w:rsidP="00000000" w:rsidRDefault="00000000" w:rsidRPr="00000000" w14:paraId="00000002">
      <w:pPr>
        <w:rPr>
          <w:b w:val="1"/>
        </w:rPr>
      </w:pPr>
      <w:r w:rsidDel="00000000" w:rsidR="00000000" w:rsidRPr="00000000">
        <w:rPr>
          <w:b w:val="1"/>
          <w:rtl w:val="0"/>
        </w:rPr>
        <w:t xml:space="preserve">SEC acknowledges Grayscale’s XRP and DOGE ETF filings</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Securities and Exchange Commission will likely face a mid-October deadline to decide whether Grayscale’s XRP and Dogecoin ETFs get off the ground.</w:t>
      </w:r>
    </w:p>
    <w:p w:rsidR="00000000" w:rsidDel="00000000" w:rsidP="00000000" w:rsidRDefault="00000000" w:rsidRPr="00000000" w14:paraId="00000005">
      <w:pPr>
        <w:rPr/>
      </w:pPr>
      <w:r w:rsidDel="00000000" w:rsidR="00000000" w:rsidRPr="00000000">
        <w:rPr>
          <w:rtl w:val="0"/>
        </w:rPr>
        <w:t xml:space="preserve">The US Securities and Exchange Commission has acknowledged filings from crypto asset manager Grayscale to list spot XRP and Dogecoin exchange-traded funds (ETFs).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SEC’s Feb. 13 acknowledgments of Grayscale’s Form 19b-4 filings for the Grayscale XRP Trust and the Grayscale Dogecoin Trust means the clock will soon start for the agency to review and decide on the applications within a mandated 240-day deadline.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240-day timer will start when Grayscale’s filings are submitted to the SEC’s federal register, which typically happens within days. If entered now, it would mean the SEC’s decision deadline would be in mid-October.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